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31" w:rsidRPr="00217163" w:rsidRDefault="00287E31" w:rsidP="00217163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bookmarkStart w:id="0" w:name="_GoBack"/>
      <w:bookmarkEnd w:id="0"/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  <w:r w:rsidR="00796F0B">
        <w:rPr>
          <w:rFonts w:cs="AgendaPl Bold"/>
          <w:b/>
          <w:bCs/>
          <w:color w:val="005A9D"/>
          <w:sz w:val="28"/>
          <w:szCs w:val="28"/>
        </w:rPr>
        <w:t>. Rok szkolny 2020/2021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gry”.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Wollny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utopce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Nieborzu”.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CE7E1D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="006D7D52" w:rsidRPr="00CE7E1D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CE7E1D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CE7E1D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Pr="00CE7E1D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CE7E1D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2E" w:rsidRDefault="000C632E" w:rsidP="00285D6F">
      <w:pPr>
        <w:spacing w:after="0" w:line="240" w:lineRule="auto"/>
      </w:pPr>
      <w:r>
        <w:separator/>
      </w:r>
    </w:p>
  </w:endnote>
  <w:endnote w:type="continuationSeparator" w:id="0">
    <w:p w:rsidR="000C632E" w:rsidRDefault="000C632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F" w:rsidRDefault="00CE7E1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5F327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BDF" w:rsidRDefault="00197621" w:rsidP="009130E5">
    <w:pPr>
      <w:pStyle w:val="Stopka"/>
      <w:ind w:left="-1417"/>
      <w:jc w:val="center"/>
    </w:pPr>
    <w:r>
      <w:fldChar w:fldCharType="begin"/>
    </w:r>
    <w:r w:rsidR="009A6BDF">
      <w:instrText>PAGE   \* MERGEFORMAT</w:instrText>
    </w:r>
    <w:r>
      <w:fldChar w:fldCharType="separate"/>
    </w:r>
    <w:r w:rsidR="00CE7E1D">
      <w:rPr>
        <w:noProof/>
      </w:rPr>
      <w:t>2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2E" w:rsidRDefault="000C632E" w:rsidP="00285D6F">
      <w:pPr>
        <w:spacing w:after="0" w:line="240" w:lineRule="auto"/>
      </w:pPr>
      <w:r>
        <w:separator/>
      </w:r>
    </w:p>
  </w:footnote>
  <w:footnote w:type="continuationSeparator" w:id="0">
    <w:p w:rsidR="000C632E" w:rsidRDefault="000C632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67657"/>
    <w:rsid w:val="00077874"/>
    <w:rsid w:val="000C632E"/>
    <w:rsid w:val="00175D84"/>
    <w:rsid w:val="00197621"/>
    <w:rsid w:val="001E4CB0"/>
    <w:rsid w:val="001F0820"/>
    <w:rsid w:val="00217163"/>
    <w:rsid w:val="00245DA5"/>
    <w:rsid w:val="00276EA1"/>
    <w:rsid w:val="002770D3"/>
    <w:rsid w:val="00285D6F"/>
    <w:rsid w:val="00287E31"/>
    <w:rsid w:val="002F1910"/>
    <w:rsid w:val="00317434"/>
    <w:rsid w:val="003572A4"/>
    <w:rsid w:val="003B19DC"/>
    <w:rsid w:val="003B2E93"/>
    <w:rsid w:val="00435B7E"/>
    <w:rsid w:val="00476DF0"/>
    <w:rsid w:val="004B0DD7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96F0B"/>
    <w:rsid w:val="007B3CB5"/>
    <w:rsid w:val="007D37CB"/>
    <w:rsid w:val="00821926"/>
    <w:rsid w:val="0083577E"/>
    <w:rsid w:val="008648E0"/>
    <w:rsid w:val="00866D65"/>
    <w:rsid w:val="00876CEC"/>
    <w:rsid w:val="0089186E"/>
    <w:rsid w:val="008C2636"/>
    <w:rsid w:val="009130E5"/>
    <w:rsid w:val="00914856"/>
    <w:rsid w:val="00923109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CE7E1D"/>
    <w:rsid w:val="00CF5EC0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795E2-AB23-4C06-941C-9AB238A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4D05-7633-4DC8-BDA0-8BF0C09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15464</Words>
  <Characters>92789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Windows User</cp:lastModifiedBy>
  <cp:revision>3</cp:revision>
  <dcterms:created xsi:type="dcterms:W3CDTF">2020-09-21T05:24:00Z</dcterms:created>
  <dcterms:modified xsi:type="dcterms:W3CDTF">2020-09-21T05:24:00Z</dcterms:modified>
</cp:coreProperties>
</file>